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45" w:rsidRDefault="00500745">
      <w:pPr>
        <w:pStyle w:val="Heading7"/>
        <w:rPr>
          <w:color w:val="000000"/>
        </w:rPr>
      </w:pPr>
    </w:p>
    <w:p w:rsidR="00500745" w:rsidRDefault="00500745">
      <w:pPr>
        <w:rPr>
          <w:color w:val="000000"/>
          <w:sz w:val="24"/>
          <w:lang w:val="en-IE"/>
        </w:rPr>
      </w:pPr>
    </w:p>
    <w:p w:rsidR="00364E6E" w:rsidRDefault="00BE5074" w:rsidP="00364E6E">
      <w:pPr>
        <w:jc w:val="both"/>
        <w:rPr>
          <w:noProof/>
          <w:color w:val="000000"/>
          <w:sz w:val="24"/>
          <w:lang w:val="en-IE" w:eastAsia="en-IE"/>
        </w:rPr>
      </w:pPr>
      <w:r>
        <w:rPr>
          <w:noProof/>
          <w:color w:val="000000"/>
          <w:sz w:val="24"/>
        </w:rPr>
        <w:drawing>
          <wp:inline distT="0" distB="0" distL="0" distR="0">
            <wp:extent cx="5734050" cy="1838325"/>
            <wp:effectExtent l="19050" t="0" r="0" b="0"/>
            <wp:docPr id="1" name="Picture 1" descr="U:\C&amp;E\Directorate\CDE\Logo\Donegal Co Co (Brand) [F+1] lower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&amp;E\Directorate\CDE\Logo\Donegal Co Co (Brand) [F+1] lower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74" w:rsidRDefault="0093317C" w:rsidP="00195BF1">
      <w:pPr>
        <w:jc w:val="center"/>
        <w:rPr>
          <w:b/>
          <w:noProof/>
          <w:color w:val="000000"/>
          <w:sz w:val="24"/>
          <w:u w:val="single"/>
          <w:lang w:val="en-IE" w:eastAsia="en-IE"/>
        </w:rPr>
      </w:pPr>
      <w:r>
        <w:rPr>
          <w:b/>
          <w:noProof/>
          <w:color w:val="000000"/>
          <w:sz w:val="24"/>
          <w:u w:val="single"/>
          <w:lang w:val="en-IE" w:eastAsia="en-IE"/>
        </w:rPr>
        <w:t>An Ciste Forbartha 2020</w:t>
      </w:r>
      <w:r w:rsidR="00BE5074">
        <w:rPr>
          <w:b/>
          <w:noProof/>
          <w:color w:val="000000"/>
          <w:sz w:val="24"/>
          <w:u w:val="single"/>
          <w:lang w:val="en-IE" w:eastAsia="en-IE"/>
        </w:rPr>
        <w:t xml:space="preserve"> – Treoracha</w:t>
      </w:r>
    </w:p>
    <w:p w:rsidR="00195BF1" w:rsidRPr="00195BF1" w:rsidRDefault="00195BF1" w:rsidP="00195BF1">
      <w:pPr>
        <w:jc w:val="center"/>
        <w:rPr>
          <w:b/>
          <w:color w:val="000000"/>
          <w:sz w:val="24"/>
          <w:u w:val="single"/>
          <w:lang w:val="en-IE"/>
        </w:rPr>
      </w:pPr>
    </w:p>
    <w:p w:rsidR="00500745" w:rsidRPr="00195BF1" w:rsidRDefault="00195BF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lang w:val="en-IE"/>
        </w:rPr>
        <w:t>1.</w:t>
      </w:r>
      <w:r w:rsidR="00364E6E" w:rsidRPr="00195BF1">
        <w:rPr>
          <w:b/>
          <w:color w:val="000000"/>
          <w:sz w:val="24"/>
          <w:lang w:val="en-IE"/>
        </w:rPr>
        <w:t xml:space="preserve"> </w:t>
      </w:r>
      <w:r w:rsidR="00703097">
        <w:rPr>
          <w:b/>
          <w:color w:val="000000"/>
          <w:sz w:val="24"/>
          <w:lang w:val="en-IE"/>
        </w:rPr>
        <w:t>Cúlra agus Cuspóir</w:t>
      </w:r>
      <w:r w:rsidR="00CB0D18" w:rsidRPr="00195BF1">
        <w:rPr>
          <w:b/>
          <w:color w:val="000000"/>
          <w:sz w:val="24"/>
          <w:szCs w:val="24"/>
        </w:rPr>
        <w:t>.</w:t>
      </w:r>
    </w:p>
    <w:p w:rsidR="00BE5074" w:rsidRPr="00BE5074" w:rsidRDefault="00BE5074" w:rsidP="00BE5074">
      <w:pPr>
        <w:jc w:val="both"/>
        <w:rPr>
          <w:color w:val="000000"/>
          <w:sz w:val="24"/>
        </w:rPr>
      </w:pPr>
      <w:r w:rsidRPr="00BE5074">
        <w:rPr>
          <w:color w:val="000000"/>
          <w:sz w:val="24"/>
        </w:rPr>
        <w:t xml:space="preserve">Is é atá sa </w:t>
      </w:r>
      <w:r>
        <w:rPr>
          <w:color w:val="000000"/>
          <w:sz w:val="24"/>
        </w:rPr>
        <w:t>Chiste Forbartha</w:t>
      </w:r>
      <w:r w:rsidRPr="00BE5074">
        <w:rPr>
          <w:color w:val="000000"/>
          <w:sz w:val="24"/>
        </w:rPr>
        <w:t xml:space="preserve"> foinse maoinithe a chuireann Comhairle Contae Dhún na nGall ar fáil </w:t>
      </w:r>
      <w:r>
        <w:rPr>
          <w:color w:val="000000"/>
          <w:sz w:val="24"/>
        </w:rPr>
        <w:t>chun</w:t>
      </w:r>
      <w:r w:rsidRPr="00BE5074">
        <w:rPr>
          <w:color w:val="000000"/>
          <w:sz w:val="24"/>
        </w:rPr>
        <w:t xml:space="preserve"> tacú le cineálacha éagsúla tograí forbartha, idir eacnamúil, shóisialta, chultúrtha agus tograí gaolmhara éagsúla</w:t>
      </w:r>
      <w:r>
        <w:rPr>
          <w:color w:val="000000"/>
          <w:sz w:val="24"/>
        </w:rPr>
        <w:t xml:space="preserve"> a théann chun sochair pobail, ceantracha agus coistí áitiúla ar fud an Chontae. </w:t>
      </w:r>
      <w:r w:rsidRPr="00BE5074">
        <w:rPr>
          <w:color w:val="000000"/>
          <w:sz w:val="24"/>
        </w:rPr>
        <w:t xml:space="preserve">Na tograí a </w:t>
      </w:r>
      <w:r>
        <w:rPr>
          <w:color w:val="000000"/>
          <w:sz w:val="24"/>
        </w:rPr>
        <w:t>dtugtar tacaíocht dóibh</w:t>
      </w:r>
      <w:r w:rsidRPr="00BE5074">
        <w:rPr>
          <w:color w:val="000000"/>
          <w:sz w:val="24"/>
        </w:rPr>
        <w:t xml:space="preserve"> fríd an chiste seo, </w:t>
      </w:r>
      <w:r>
        <w:rPr>
          <w:color w:val="000000"/>
          <w:sz w:val="24"/>
        </w:rPr>
        <w:t>is</w:t>
      </w:r>
      <w:r w:rsidRPr="00BE5074">
        <w:rPr>
          <w:color w:val="000000"/>
          <w:sz w:val="24"/>
        </w:rPr>
        <w:t xml:space="preserve"> de bhun Alt 66 agus 67 den Acht Rialtais Áitiúil 2001</w:t>
      </w:r>
      <w:r>
        <w:rPr>
          <w:color w:val="000000"/>
          <w:sz w:val="24"/>
        </w:rPr>
        <w:t xml:space="preserve"> a thugtar an tacaíocht sin</w:t>
      </w:r>
      <w:r w:rsidRPr="00BE5074">
        <w:rPr>
          <w:color w:val="000000"/>
          <w:sz w:val="24"/>
        </w:rPr>
        <w:t>.</w:t>
      </w:r>
    </w:p>
    <w:p w:rsidR="00BE5074" w:rsidRDefault="00BE5074">
      <w:pPr>
        <w:jc w:val="both"/>
        <w:rPr>
          <w:color w:val="000000"/>
          <w:sz w:val="24"/>
        </w:rPr>
      </w:pPr>
    </w:p>
    <w:p w:rsidR="002425EF" w:rsidRDefault="002425EF">
      <w:pPr>
        <w:jc w:val="both"/>
        <w:rPr>
          <w:color w:val="000000"/>
          <w:sz w:val="24"/>
        </w:rPr>
      </w:pPr>
    </w:p>
    <w:p w:rsidR="00CB0D18" w:rsidRPr="00195BF1" w:rsidRDefault="00364E6E" w:rsidP="00CB0D18">
      <w:pPr>
        <w:jc w:val="both"/>
        <w:rPr>
          <w:b/>
          <w:color w:val="000000"/>
          <w:sz w:val="24"/>
          <w:szCs w:val="24"/>
        </w:rPr>
      </w:pPr>
      <w:r w:rsidRPr="00195BF1">
        <w:rPr>
          <w:b/>
          <w:color w:val="000000"/>
          <w:sz w:val="24"/>
          <w:szCs w:val="24"/>
        </w:rPr>
        <w:t>2</w:t>
      </w:r>
      <w:r w:rsidR="00195BF1" w:rsidRPr="00195BF1">
        <w:rPr>
          <w:b/>
          <w:color w:val="000000"/>
          <w:sz w:val="24"/>
          <w:szCs w:val="24"/>
        </w:rPr>
        <w:t xml:space="preserve">. </w:t>
      </w:r>
      <w:r w:rsidR="00137161">
        <w:rPr>
          <w:b/>
          <w:color w:val="000000"/>
          <w:sz w:val="24"/>
          <w:szCs w:val="24"/>
        </w:rPr>
        <w:t>An Próiseas chun Iarratais a Mheasúnú agus a Roghnú</w:t>
      </w:r>
    </w:p>
    <w:p w:rsidR="00703097" w:rsidRDefault="00703097" w:rsidP="00CB0D18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Tugann an Ciste Forbartha tacaíocht do thograí a thagann faoi dhá chatagóir leathan</w:t>
      </w:r>
      <w:r w:rsidR="004D76BA">
        <w:rPr>
          <w:rFonts w:ascii="Times New Roman" w:hAnsi="Times New Roman"/>
        </w:rPr>
        <w:t>a</w:t>
      </w:r>
      <w:r>
        <w:rPr>
          <w:rFonts w:ascii="Times New Roman" w:hAnsi="Times New Roman"/>
        </w:rPr>
        <w:t>:</w:t>
      </w:r>
    </w:p>
    <w:p w:rsidR="00703097" w:rsidRDefault="00703097" w:rsidP="00CB0D18">
      <w:pPr>
        <w:pStyle w:val="BodyText3"/>
        <w:rPr>
          <w:rFonts w:ascii="Times New Roman" w:hAnsi="Times New Roman"/>
        </w:rPr>
      </w:pPr>
    </w:p>
    <w:p w:rsidR="00CB0D18" w:rsidRPr="00574101" w:rsidRDefault="00CB0D18" w:rsidP="00CB0D18">
      <w:pPr>
        <w:jc w:val="both"/>
        <w:rPr>
          <w:color w:val="000000"/>
          <w:sz w:val="24"/>
        </w:rPr>
      </w:pPr>
    </w:p>
    <w:p w:rsidR="00873EA9" w:rsidRDefault="00703097" w:rsidP="00873EA9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73EA9">
        <w:rPr>
          <w:sz w:val="24"/>
          <w:szCs w:val="24"/>
        </w:rPr>
        <w:t>Tograí straitéiseacha atá á stiúradh ag</w:t>
      </w:r>
      <w:r w:rsidR="002B4218">
        <w:rPr>
          <w:sz w:val="24"/>
          <w:szCs w:val="24"/>
        </w:rPr>
        <w:t xml:space="preserve"> Comhairle Contae Dhún na nGall.</w:t>
      </w:r>
    </w:p>
    <w:p w:rsidR="00703097" w:rsidRPr="00D43A32" w:rsidRDefault="00703097" w:rsidP="00CB0D18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873EA9">
        <w:rPr>
          <w:sz w:val="24"/>
        </w:rPr>
        <w:t>Tograí atá roghnaithe laistigh de gach Ceantar Bardais ag Comhaltaí Tofa an Cheantair sin (cuirfear fógraí sna nuachtáin áitiúla agus ar shuíomh idirlín na Comhairle, ag tabhairt cuireadh do g</w:t>
      </w:r>
      <w:r w:rsidR="004D76BA">
        <w:rPr>
          <w:sz w:val="24"/>
        </w:rPr>
        <w:t xml:space="preserve">hrúpaí agus </w:t>
      </w:r>
      <w:r w:rsidRPr="00873EA9">
        <w:rPr>
          <w:sz w:val="24"/>
        </w:rPr>
        <w:t>do thograí ábhartha iarratais a dhéanamh)</w:t>
      </w:r>
      <w:r w:rsidR="00873EA9" w:rsidRPr="00873EA9">
        <w:rPr>
          <w:sz w:val="24"/>
        </w:rPr>
        <w:t>.</w:t>
      </w:r>
    </w:p>
    <w:p w:rsidR="00703097" w:rsidRDefault="00703097" w:rsidP="00CB0D18">
      <w:pPr>
        <w:jc w:val="both"/>
        <w:rPr>
          <w:color w:val="000000"/>
          <w:sz w:val="24"/>
        </w:rPr>
      </w:pPr>
    </w:p>
    <w:p w:rsidR="00703097" w:rsidRPr="00D43A32" w:rsidRDefault="00703097" w:rsidP="00CB0D18">
      <w:pPr>
        <w:jc w:val="both"/>
        <w:rPr>
          <w:color w:val="000000"/>
          <w:sz w:val="24"/>
        </w:rPr>
      </w:pPr>
      <w:r w:rsidRPr="00D43A32">
        <w:rPr>
          <w:color w:val="000000"/>
          <w:sz w:val="24"/>
        </w:rPr>
        <w:t>Caithfidh gach iarratasóir</w:t>
      </w:r>
      <w:r w:rsidR="00DF7FD8">
        <w:rPr>
          <w:color w:val="000000"/>
          <w:sz w:val="24"/>
        </w:rPr>
        <w:t xml:space="preserve"> ar mhaoiniú</w:t>
      </w:r>
      <w:r w:rsidR="00873EA9" w:rsidRPr="00D43A32">
        <w:rPr>
          <w:color w:val="000000"/>
          <w:sz w:val="24"/>
        </w:rPr>
        <w:t xml:space="preserve"> foirm iarratais a líonadh isteach</w:t>
      </w:r>
      <w:r w:rsidR="00DF7FD8">
        <w:rPr>
          <w:color w:val="000000"/>
          <w:sz w:val="24"/>
        </w:rPr>
        <w:t xml:space="preserve">. </w:t>
      </w:r>
      <w:r w:rsidR="00873EA9" w:rsidRPr="00D43A32">
        <w:rPr>
          <w:color w:val="000000"/>
          <w:sz w:val="24"/>
        </w:rPr>
        <w:t xml:space="preserve">Déanfaidh oifigigh de chuid na Comhairle gach iarratas a mheas ansin, ag glacadh san áireamh critéir reachtúla, rialála agus </w:t>
      </w:r>
      <w:r w:rsidR="00CF781A">
        <w:rPr>
          <w:color w:val="000000"/>
          <w:sz w:val="24"/>
        </w:rPr>
        <w:t>cháilitheachta</w:t>
      </w:r>
      <w:r w:rsidR="00873EA9" w:rsidRPr="00D43A32">
        <w:rPr>
          <w:color w:val="000000"/>
          <w:sz w:val="24"/>
        </w:rPr>
        <w:t>, sula gcuirfear iad faoi bhráid Chomhaltaí Tofa na gCeantar Bardais lena bplé agus le cinneadh a dhéanamh ina leith.</w:t>
      </w:r>
    </w:p>
    <w:p w:rsidR="00A64A54" w:rsidRPr="001328DD" w:rsidRDefault="00A64A54" w:rsidP="00CB0D18">
      <w:pPr>
        <w:jc w:val="both"/>
        <w:rPr>
          <w:color w:val="000000"/>
          <w:sz w:val="24"/>
        </w:rPr>
      </w:pPr>
    </w:p>
    <w:p w:rsidR="0091074C" w:rsidRPr="00040E42" w:rsidRDefault="008D6492" w:rsidP="0091074C">
      <w:pPr>
        <w:jc w:val="both"/>
        <w:rPr>
          <w:b/>
          <w:color w:val="000000"/>
          <w:sz w:val="24"/>
          <w:szCs w:val="24"/>
        </w:rPr>
      </w:pPr>
      <w:r w:rsidRPr="00195BF1">
        <w:rPr>
          <w:b/>
          <w:color w:val="000000"/>
          <w:sz w:val="24"/>
          <w:szCs w:val="24"/>
        </w:rPr>
        <w:t>3</w:t>
      </w:r>
      <w:r w:rsidR="00195BF1" w:rsidRPr="00195BF1">
        <w:rPr>
          <w:b/>
          <w:color w:val="000000"/>
          <w:sz w:val="24"/>
          <w:szCs w:val="24"/>
        </w:rPr>
        <w:t xml:space="preserve">. </w:t>
      </w:r>
      <w:r w:rsidR="00CF781A">
        <w:rPr>
          <w:b/>
          <w:color w:val="000000"/>
          <w:sz w:val="24"/>
          <w:szCs w:val="24"/>
        </w:rPr>
        <w:t>Critéir Cháilitheachta</w:t>
      </w:r>
      <w:r w:rsidR="00CB0D18" w:rsidRPr="00195BF1">
        <w:rPr>
          <w:b/>
          <w:color w:val="000000"/>
          <w:sz w:val="24"/>
          <w:szCs w:val="24"/>
        </w:rPr>
        <w:t>.</w:t>
      </w:r>
    </w:p>
    <w:p w:rsidR="00FB7B54" w:rsidRDefault="00040E42" w:rsidP="00195BF1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3.1 </w:t>
      </w:r>
      <w:r w:rsidR="0016189A">
        <w:rPr>
          <w:sz w:val="24"/>
          <w:szCs w:val="24"/>
          <w:lang w:val="en-IE"/>
        </w:rPr>
        <w:t xml:space="preserve">Tá an Ciste Forbartha ar fáil do thograí atá á fhorbairt ag an Chomhairle Contae, ag coistí pobail nó ag aon ghrúpa eile a dtig leo a thaispeáint go bhfuil ról agus feidhm bona-fide acu ag tacú le forbairt phobail, shóisialta, eacnamúil nó eile sa chontae. </w:t>
      </w:r>
    </w:p>
    <w:p w:rsidR="00FB7B54" w:rsidRPr="00195BF1" w:rsidRDefault="008D6492" w:rsidP="00195BF1">
      <w:pPr>
        <w:ind w:left="426" w:hanging="426"/>
        <w:rPr>
          <w:color w:val="000000"/>
          <w:sz w:val="24"/>
        </w:rPr>
      </w:pPr>
      <w:r>
        <w:rPr>
          <w:sz w:val="24"/>
          <w:szCs w:val="24"/>
          <w:lang w:val="en-IE"/>
        </w:rPr>
        <w:t xml:space="preserve">3.2 </w:t>
      </w:r>
      <w:r>
        <w:rPr>
          <w:sz w:val="24"/>
          <w:szCs w:val="24"/>
          <w:lang w:val="en-IE"/>
        </w:rPr>
        <w:tab/>
      </w:r>
      <w:r w:rsidR="0016189A">
        <w:rPr>
          <w:sz w:val="24"/>
          <w:szCs w:val="24"/>
          <w:lang w:val="en-IE"/>
        </w:rPr>
        <w:t xml:space="preserve">A fhad is </w:t>
      </w:r>
      <w:r w:rsidR="00306570">
        <w:rPr>
          <w:sz w:val="24"/>
          <w:szCs w:val="24"/>
          <w:lang w:val="en-IE"/>
        </w:rPr>
        <w:t>atá</w:t>
      </w:r>
      <w:r w:rsidR="0016189A">
        <w:rPr>
          <w:sz w:val="24"/>
          <w:szCs w:val="24"/>
          <w:lang w:val="en-IE"/>
        </w:rPr>
        <w:t xml:space="preserve"> gach riachtanas ábhartha eile, idir reachtúil agus rialála, i bhfeidhm agus sásaithe tá tograí den chineál seo a leanas incháilithe le bheith san iomaíocht le haghaidh deontais ón Chiste Forbartha;  tograí a thacaíonn le caiteachas caipitil, imeachtaí aon uaire, gníomhaíochtaí sóisialta, eacnamúla</w:t>
      </w:r>
      <w:r w:rsidR="00F11B88">
        <w:rPr>
          <w:sz w:val="24"/>
          <w:szCs w:val="24"/>
          <w:lang w:val="en-IE"/>
        </w:rPr>
        <w:t xml:space="preserve">, cultúrtha agus oidhreachta agus gníomhaíochtaí ábhartha eile. </w:t>
      </w:r>
    </w:p>
    <w:p w:rsidR="003566D7" w:rsidRDefault="008D6492" w:rsidP="00195BF1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lastRenderedPageBreak/>
        <w:t>3.3</w:t>
      </w:r>
      <w:r>
        <w:rPr>
          <w:sz w:val="24"/>
          <w:szCs w:val="24"/>
          <w:lang w:val="en-IE"/>
        </w:rPr>
        <w:tab/>
      </w:r>
      <w:r w:rsidR="00306570">
        <w:rPr>
          <w:sz w:val="24"/>
          <w:szCs w:val="24"/>
          <w:lang w:val="en-IE"/>
        </w:rPr>
        <w:t xml:space="preserve">Na tograí sin atá ar lorg deontais le haghaidh ‘costais reatha’ (soilse, teas, tuarastail etc), agus ar dócha go mbeidh na costais sin i gceist </w:t>
      </w:r>
      <w:r w:rsidR="00623AF5">
        <w:rPr>
          <w:sz w:val="24"/>
          <w:szCs w:val="24"/>
          <w:lang w:val="en-IE"/>
        </w:rPr>
        <w:t>go ceann roinnt blianta</w:t>
      </w:r>
      <w:r w:rsidR="00306570">
        <w:rPr>
          <w:sz w:val="24"/>
          <w:szCs w:val="24"/>
          <w:lang w:val="en-IE"/>
        </w:rPr>
        <w:t xml:space="preserve">, beidh orthu a thaispeáint go soiléir cén ghné ar leith dá gcostais reatha atá in easnamh faoi láthair agus cad é dó a bhfuil an maoiniú </w:t>
      </w:r>
      <w:r w:rsidR="0016664E">
        <w:rPr>
          <w:sz w:val="24"/>
          <w:szCs w:val="24"/>
          <w:lang w:val="en-IE"/>
        </w:rPr>
        <w:t>á</w:t>
      </w:r>
      <w:r w:rsidR="00306570">
        <w:rPr>
          <w:sz w:val="24"/>
          <w:szCs w:val="24"/>
          <w:lang w:val="en-IE"/>
        </w:rPr>
        <w:t xml:space="preserve"> f</w:t>
      </w:r>
      <w:r w:rsidR="0016664E">
        <w:rPr>
          <w:sz w:val="24"/>
          <w:szCs w:val="24"/>
          <w:lang w:val="en-IE"/>
        </w:rPr>
        <w:t>háil ón Chiste Forbartha. Maidir le m</w:t>
      </w:r>
      <w:r w:rsidR="00306570">
        <w:rPr>
          <w:sz w:val="24"/>
          <w:szCs w:val="24"/>
          <w:lang w:val="en-IE"/>
        </w:rPr>
        <w:t xml:space="preserve">aoiniú </w:t>
      </w:r>
      <w:r w:rsidR="003566D7">
        <w:rPr>
          <w:sz w:val="24"/>
          <w:szCs w:val="24"/>
          <w:lang w:val="en-IE"/>
        </w:rPr>
        <w:t xml:space="preserve">a iarrann aon choiste/ghrúpa </w:t>
      </w:r>
      <w:r w:rsidR="00306570">
        <w:rPr>
          <w:sz w:val="24"/>
          <w:szCs w:val="24"/>
          <w:lang w:val="en-IE"/>
        </w:rPr>
        <w:t>faoin cheannteideal seo</w:t>
      </w:r>
      <w:r w:rsidR="0016664E">
        <w:rPr>
          <w:sz w:val="24"/>
          <w:szCs w:val="24"/>
          <w:lang w:val="en-IE"/>
        </w:rPr>
        <w:t>, beidh sé</w:t>
      </w:r>
      <w:r w:rsidR="00306570">
        <w:rPr>
          <w:sz w:val="24"/>
          <w:szCs w:val="24"/>
          <w:lang w:val="en-IE"/>
        </w:rPr>
        <w:t xml:space="preserve"> teoranta go dtí tréimhse trí bliana san iomlán le linn </w:t>
      </w:r>
      <w:r w:rsidR="0016664E">
        <w:rPr>
          <w:sz w:val="24"/>
          <w:szCs w:val="24"/>
          <w:lang w:val="en-IE"/>
        </w:rPr>
        <w:t>téarma na C</w:t>
      </w:r>
      <w:r w:rsidR="00306570">
        <w:rPr>
          <w:sz w:val="24"/>
          <w:szCs w:val="24"/>
          <w:lang w:val="en-IE"/>
        </w:rPr>
        <w:t>omhairle</w:t>
      </w:r>
      <w:r w:rsidR="0016664E">
        <w:rPr>
          <w:sz w:val="24"/>
          <w:szCs w:val="24"/>
          <w:lang w:val="en-IE"/>
        </w:rPr>
        <w:t xml:space="preserve"> sin</w:t>
      </w:r>
      <w:r w:rsidR="00306570">
        <w:rPr>
          <w:sz w:val="24"/>
          <w:szCs w:val="24"/>
          <w:lang w:val="en-IE"/>
        </w:rPr>
        <w:t xml:space="preserve">.  </w:t>
      </w:r>
    </w:p>
    <w:p w:rsidR="00FB7B54" w:rsidRDefault="00195BF1" w:rsidP="00195BF1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3.4  </w:t>
      </w:r>
      <w:r w:rsidR="003566D7">
        <w:rPr>
          <w:sz w:val="24"/>
          <w:szCs w:val="24"/>
          <w:lang w:val="en-IE"/>
        </w:rPr>
        <w:t>Is féidir go gceadófar maoiniú ilbhliantúil do thograí (a fhad is a thiteann an tréimhse ama laistigh de théarma tofa na Comhairle a cheadaíonn é).</w:t>
      </w:r>
    </w:p>
    <w:p w:rsidR="00AF6946" w:rsidRDefault="00195BF1" w:rsidP="00195BF1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3.5   </w:t>
      </w:r>
      <w:r w:rsidR="003566D7">
        <w:rPr>
          <w:sz w:val="24"/>
          <w:szCs w:val="24"/>
          <w:lang w:val="en-IE"/>
        </w:rPr>
        <w:t xml:space="preserve">Ní thabharfar deontas d’aon togra má shíltear, i ndiaidh an t-iarratas a mheas, gur féidir go gcuirfeadh sé isteach ar thogra atá ar siúl cheana féin sa cheantar atá i gceist. </w:t>
      </w:r>
    </w:p>
    <w:p w:rsidR="00AF6946" w:rsidRPr="00E63E9B" w:rsidRDefault="00AF6946" w:rsidP="00195BF1">
      <w:pPr>
        <w:ind w:left="426" w:hanging="426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3.6</w:t>
      </w:r>
      <w:r>
        <w:rPr>
          <w:sz w:val="24"/>
          <w:szCs w:val="24"/>
          <w:lang w:val="en-IE"/>
        </w:rPr>
        <w:tab/>
      </w:r>
      <w:r w:rsidR="001F5178">
        <w:rPr>
          <w:sz w:val="24"/>
          <w:szCs w:val="24"/>
          <w:lang w:val="en-IE"/>
        </w:rPr>
        <w:t xml:space="preserve">In aon bhliain ar leith, is é </w:t>
      </w:r>
      <w:r w:rsidR="001F5178" w:rsidRPr="001F5178">
        <w:rPr>
          <w:b/>
          <w:sz w:val="24"/>
          <w:szCs w:val="24"/>
          <w:u w:val="single"/>
          <w:lang w:val="en-IE"/>
        </w:rPr>
        <w:t>€2,500</w:t>
      </w:r>
      <w:r w:rsidR="001F5178">
        <w:rPr>
          <w:sz w:val="24"/>
          <w:szCs w:val="24"/>
          <w:lang w:val="en-IE"/>
        </w:rPr>
        <w:t xml:space="preserve"> an deontas </w:t>
      </w:r>
      <w:r w:rsidR="001F5178" w:rsidRPr="001F5178">
        <w:rPr>
          <w:b/>
          <w:sz w:val="24"/>
          <w:szCs w:val="24"/>
          <w:lang w:val="en-IE"/>
        </w:rPr>
        <w:t>is lú</w:t>
      </w:r>
      <w:r w:rsidR="001F5178">
        <w:rPr>
          <w:sz w:val="24"/>
          <w:szCs w:val="24"/>
          <w:lang w:val="en-IE"/>
        </w:rPr>
        <w:t xml:space="preserve"> is féidir a thabhairt d’aon ghrúpa nó d’aon togra.</w:t>
      </w:r>
    </w:p>
    <w:p w:rsidR="00EA33FD" w:rsidRDefault="00EA33FD" w:rsidP="0091074C">
      <w:pPr>
        <w:rPr>
          <w:sz w:val="24"/>
          <w:szCs w:val="24"/>
          <w:lang w:val="en-IE"/>
        </w:rPr>
      </w:pPr>
    </w:p>
    <w:p w:rsidR="0067711C" w:rsidRPr="002A4B95" w:rsidRDefault="008D6492" w:rsidP="0067711C">
      <w:pPr>
        <w:jc w:val="both"/>
        <w:rPr>
          <w:b/>
          <w:color w:val="000000"/>
          <w:sz w:val="24"/>
          <w:szCs w:val="24"/>
        </w:rPr>
      </w:pPr>
      <w:r w:rsidRPr="002A4B95">
        <w:rPr>
          <w:b/>
          <w:color w:val="000000"/>
          <w:sz w:val="24"/>
          <w:szCs w:val="24"/>
        </w:rPr>
        <w:t>4</w:t>
      </w:r>
      <w:r w:rsidR="002A4B95" w:rsidRPr="002A4B95">
        <w:rPr>
          <w:b/>
          <w:color w:val="000000"/>
          <w:sz w:val="24"/>
          <w:szCs w:val="24"/>
        </w:rPr>
        <w:t xml:space="preserve">. </w:t>
      </w:r>
      <w:r w:rsidR="00D15AAC">
        <w:rPr>
          <w:b/>
          <w:color w:val="000000"/>
          <w:sz w:val="24"/>
          <w:szCs w:val="24"/>
        </w:rPr>
        <w:t>Coinníollacha Ginearálta</w:t>
      </w:r>
      <w:r w:rsidR="00A732B9" w:rsidRPr="002A4B95">
        <w:rPr>
          <w:b/>
          <w:color w:val="000000"/>
          <w:sz w:val="24"/>
          <w:szCs w:val="24"/>
        </w:rPr>
        <w:t>.</w:t>
      </w:r>
    </w:p>
    <w:p w:rsidR="0067711C" w:rsidRPr="002A4B95" w:rsidRDefault="00D15AAC" w:rsidP="00C42B3C">
      <w:pPr>
        <w:numPr>
          <w:ilvl w:val="1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Ní bheidh aon ghealltanas idir Comhairle Contae Dhún na nGall agus aon iarratasóir deontais go dtí go bhfaighidh an t-iarratasóir Litir Thairisceana. Le bheith incháilithe, is airgead a chaitear i ndiaidh don iarratasóir an Litir Thairisceana a fháil, agus sin amháin, is féidir a chur san áireamh le haghaidh maoiniú ón Chiste Forbartha (ach amháin i gcás go bhfuil comhaontú ilbhliantúil i gceist i dtaca </w:t>
      </w:r>
      <w:r w:rsidR="00C47C36">
        <w:rPr>
          <w:sz w:val="24"/>
          <w:szCs w:val="24"/>
        </w:rPr>
        <w:t>le maoiniú).</w:t>
      </w:r>
    </w:p>
    <w:p w:rsidR="003017A8" w:rsidRPr="002A4B95" w:rsidRDefault="00E46E24" w:rsidP="003017A8">
      <w:pPr>
        <w:numPr>
          <w:ilvl w:val="1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Coinníonn Comhairle Contae Dhún na nGall an ceart aici féin táille a ghearradh ar shealúchas/ar shócmh</w:t>
      </w:r>
      <w:r w:rsidR="00431D27">
        <w:rPr>
          <w:sz w:val="24"/>
          <w:szCs w:val="24"/>
        </w:rPr>
        <w:t>ainní (ar tugadh deontas fána gc</w:t>
      </w:r>
      <w:r>
        <w:rPr>
          <w:sz w:val="24"/>
          <w:szCs w:val="24"/>
        </w:rPr>
        <w:t xml:space="preserve">oinne) go ceann tréimhse seacht mbliana lena chinntiú go gcaitear an maoiniú de réir mar a aontaíodh agus a ceadaíodh. </w:t>
      </w:r>
    </w:p>
    <w:p w:rsidR="00A5387D" w:rsidRDefault="00E17FC3" w:rsidP="003017A8">
      <w:pPr>
        <w:numPr>
          <w:ilvl w:val="1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5387D">
        <w:rPr>
          <w:sz w:val="24"/>
          <w:szCs w:val="24"/>
        </w:rPr>
        <w:t xml:space="preserve">Ba chóir a thabhairt faoi deara gur </w:t>
      </w:r>
      <w:r w:rsidR="00E406FB" w:rsidRPr="00A5387D">
        <w:rPr>
          <w:sz w:val="24"/>
          <w:szCs w:val="24"/>
        </w:rPr>
        <w:t xml:space="preserve">ciste aisghabhála é An Ciste Forbartha i.e. </w:t>
      </w:r>
      <w:r w:rsidR="00A5387D" w:rsidRPr="00A5387D">
        <w:rPr>
          <w:sz w:val="24"/>
          <w:szCs w:val="24"/>
        </w:rPr>
        <w:t xml:space="preserve">caithfidh an eagraíocht billí an togra a íoc roimh ré as a hacmhainní féin, agus ansin aisíocaíocht a fháil ón Chomhairle. Is féidir le heagraíocht iarratas a dhéanamh ar 50% den deontas atá ceadaithe dóibh a fháil ón Chiste Forbartha, bunaithe ar chaiteachas atá déanta. </w:t>
      </w:r>
    </w:p>
    <w:p w:rsidR="003017A8" w:rsidRPr="00A5387D" w:rsidRDefault="00A5387D" w:rsidP="003017A8">
      <w:pPr>
        <w:numPr>
          <w:ilvl w:val="1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A5387D">
        <w:rPr>
          <w:b/>
          <w:sz w:val="24"/>
          <w:szCs w:val="24"/>
        </w:rPr>
        <w:t xml:space="preserve">Le bheith incháilithe, is airgead atá caite i ndiaidh próiseas iomaíoch </w:t>
      </w:r>
      <w:r>
        <w:rPr>
          <w:b/>
          <w:sz w:val="24"/>
          <w:szCs w:val="24"/>
        </w:rPr>
        <w:t>ceannacháin</w:t>
      </w:r>
      <w:r w:rsidRPr="00A5387D">
        <w:rPr>
          <w:b/>
          <w:sz w:val="24"/>
          <w:szCs w:val="24"/>
        </w:rPr>
        <w:t>, agus sin amháin, a mhaoineofar ón Chiste Fo</w:t>
      </w:r>
      <w:r>
        <w:rPr>
          <w:b/>
          <w:sz w:val="24"/>
          <w:szCs w:val="24"/>
        </w:rPr>
        <w:t>r</w:t>
      </w:r>
      <w:r w:rsidRPr="00A5387D">
        <w:rPr>
          <w:b/>
          <w:sz w:val="24"/>
          <w:szCs w:val="24"/>
        </w:rPr>
        <w:t>bartha</w:t>
      </w:r>
      <w:r>
        <w:rPr>
          <w:sz w:val="24"/>
          <w:szCs w:val="24"/>
        </w:rPr>
        <w:t xml:space="preserve"> (beidh treoracha mionsonraithe ar an phróiseas ceannacháin ar fáil sa Litir Thairisceana). Tá na deontais seo á gcur ar fáil ó airgead poiblí agus mar sin de tá géarghá le próiseas ceannacháin atá iomaíoch agus oscailte. Mura gcloítear go docht daingean leis na treoracha seo, measfar an caiteachas a bheith neamhcháilithe agus ní íocfar an deontas.</w:t>
      </w:r>
    </w:p>
    <w:p w:rsidR="003017A8" w:rsidRPr="002A4B95" w:rsidRDefault="00E66CD4" w:rsidP="003017A8">
      <w:pPr>
        <w:numPr>
          <w:ilvl w:val="1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Ní mór do gach eagraíocht a gheobhaidh deontas cuntas a bheith acu le hinstitiúid airgeadais. Íocfar an deontas isteach sa chuntas aitheanta seo, agus is gá gur as an chuntas seo a dhéanfar gach íocaíocht a úsáidtear leis an deontas a tharraingt anuas.</w:t>
      </w:r>
    </w:p>
    <w:p w:rsidR="004746A2" w:rsidRPr="002A4B95" w:rsidRDefault="00E66CD4" w:rsidP="004746A2">
      <w:pPr>
        <w:numPr>
          <w:ilvl w:val="1"/>
          <w:numId w:val="5"/>
        </w:numPr>
        <w:tabs>
          <w:tab w:val="clear" w:pos="720"/>
          <w:tab w:val="num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Riachtanais Chánach</w:t>
      </w:r>
      <w:r w:rsidR="00146E4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46E46">
        <w:rPr>
          <w:sz w:val="24"/>
          <w:szCs w:val="24"/>
        </w:rPr>
        <w:t xml:space="preserve"> </w:t>
      </w:r>
      <w:r>
        <w:rPr>
          <w:sz w:val="24"/>
          <w:szCs w:val="24"/>
        </w:rPr>
        <w:t>Beidh an méid seo a leanas de dhíth sula ndéanfar aon deontas a íoc</w:t>
      </w:r>
      <w:r w:rsidR="004D4B5B">
        <w:rPr>
          <w:sz w:val="24"/>
          <w:szCs w:val="24"/>
        </w:rPr>
        <w:t>:</w:t>
      </w:r>
    </w:p>
    <w:p w:rsidR="004746A2" w:rsidRPr="00CE1CFC" w:rsidRDefault="00E66CD4" w:rsidP="00CE1CFC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Fá choinne deontais faoi €10,000: ní mór do gach eagraíocht uimhir chláraithe cánach a thabhairt. Beidh ar an eagraíocht, fosta, ráiteas a shíniú ag tabhairt le fios go bhfuil a gcuid cúrsaí cánach in ord</w:t>
      </w:r>
      <w:r w:rsidR="004D4B5B" w:rsidRPr="00CE1CFC">
        <w:rPr>
          <w:sz w:val="24"/>
        </w:rPr>
        <w:t>.</w:t>
      </w:r>
    </w:p>
    <w:p w:rsidR="004746A2" w:rsidRPr="00CE1CFC" w:rsidRDefault="004D4B5B" w:rsidP="00CE1CFC">
      <w:pPr>
        <w:numPr>
          <w:ilvl w:val="0"/>
          <w:numId w:val="7"/>
        </w:numPr>
        <w:jc w:val="both"/>
        <w:rPr>
          <w:sz w:val="24"/>
        </w:rPr>
      </w:pPr>
      <w:r w:rsidRPr="00CE1CFC">
        <w:rPr>
          <w:sz w:val="24"/>
        </w:rPr>
        <w:t>F</w:t>
      </w:r>
      <w:r w:rsidR="00E66CD4">
        <w:rPr>
          <w:sz w:val="24"/>
        </w:rPr>
        <w:t>á choinne deontais os cionn €10,000: beidh gá le deimhniú reatha imréiteach cánach ó na Coimisinéirí Ioncaim</w:t>
      </w:r>
      <w:r w:rsidR="00461E67">
        <w:rPr>
          <w:sz w:val="24"/>
        </w:rPr>
        <w:t>.</w:t>
      </w:r>
    </w:p>
    <w:sectPr w:rsidR="004746A2" w:rsidRPr="00CE1CFC" w:rsidSect="0094051F">
      <w:footerReference w:type="even" r:id="rId9"/>
      <w:footerReference w:type="default" r:id="rId10"/>
      <w:pgSz w:w="12240" w:h="15840"/>
      <w:pgMar w:top="1440" w:right="1440" w:bottom="1440" w:left="1440" w:header="720" w:footer="720" w:gutter="144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D4" w:rsidRDefault="00E66CD4">
      <w:r>
        <w:separator/>
      </w:r>
    </w:p>
  </w:endnote>
  <w:endnote w:type="continuationSeparator" w:id="0">
    <w:p w:rsidR="00E66CD4" w:rsidRDefault="00E6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D4" w:rsidRDefault="005B1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C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CD4" w:rsidRDefault="00E66C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D4" w:rsidRDefault="005B1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FA2">
      <w:rPr>
        <w:rStyle w:val="PageNumber"/>
        <w:noProof/>
      </w:rPr>
      <w:t>2</w:t>
    </w:r>
    <w:r>
      <w:rPr>
        <w:rStyle w:val="PageNumber"/>
      </w:rPr>
      <w:fldChar w:fldCharType="end"/>
    </w:r>
  </w:p>
  <w:p w:rsidR="00E66CD4" w:rsidRDefault="00E66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D4" w:rsidRDefault="00E66CD4">
      <w:r>
        <w:separator/>
      </w:r>
    </w:p>
  </w:footnote>
  <w:footnote w:type="continuationSeparator" w:id="0">
    <w:p w:rsidR="00E66CD4" w:rsidRDefault="00E66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C72"/>
    <w:multiLevelType w:val="multilevel"/>
    <w:tmpl w:val="80ACEE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0343CC3"/>
    <w:multiLevelType w:val="hybridMultilevel"/>
    <w:tmpl w:val="20E2C4F8"/>
    <w:lvl w:ilvl="0" w:tplc="AF30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37B4"/>
    <w:multiLevelType w:val="multilevel"/>
    <w:tmpl w:val="0DBAFFA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257C4507"/>
    <w:multiLevelType w:val="multilevel"/>
    <w:tmpl w:val="DD1E56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92359A"/>
    <w:multiLevelType w:val="multilevel"/>
    <w:tmpl w:val="26EC9D5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6B033AE"/>
    <w:multiLevelType w:val="multilevel"/>
    <w:tmpl w:val="26EC9D5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867879"/>
    <w:multiLevelType w:val="multilevel"/>
    <w:tmpl w:val="0809001F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C8966CE"/>
    <w:multiLevelType w:val="multilevel"/>
    <w:tmpl w:val="B9628EA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6B1D24"/>
    <w:multiLevelType w:val="multilevel"/>
    <w:tmpl w:val="7FA0BC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97041"/>
    <w:multiLevelType w:val="multilevel"/>
    <w:tmpl w:val="0809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1A308A0"/>
    <w:multiLevelType w:val="multilevel"/>
    <w:tmpl w:val="1D7C77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2C73793"/>
    <w:multiLevelType w:val="multilevel"/>
    <w:tmpl w:val="1D7C77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55F44F3"/>
    <w:multiLevelType w:val="multilevel"/>
    <w:tmpl w:val="5B6842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102"/>
    <w:rsid w:val="00005657"/>
    <w:rsid w:val="000147FC"/>
    <w:rsid w:val="0003136E"/>
    <w:rsid w:val="000340EF"/>
    <w:rsid w:val="00040E42"/>
    <w:rsid w:val="00042D46"/>
    <w:rsid w:val="00077F2A"/>
    <w:rsid w:val="00080D46"/>
    <w:rsid w:val="000A6787"/>
    <w:rsid w:val="000C572F"/>
    <w:rsid w:val="000D2666"/>
    <w:rsid w:val="000E2607"/>
    <w:rsid w:val="00115521"/>
    <w:rsid w:val="00120E57"/>
    <w:rsid w:val="00126097"/>
    <w:rsid w:val="001328DD"/>
    <w:rsid w:val="001365B7"/>
    <w:rsid w:val="00137161"/>
    <w:rsid w:val="00146E46"/>
    <w:rsid w:val="0016189A"/>
    <w:rsid w:val="00163462"/>
    <w:rsid w:val="00163D04"/>
    <w:rsid w:val="0016664E"/>
    <w:rsid w:val="001678DC"/>
    <w:rsid w:val="001768A8"/>
    <w:rsid w:val="0019557E"/>
    <w:rsid w:val="00195BF1"/>
    <w:rsid w:val="001A6FAA"/>
    <w:rsid w:val="001C5E20"/>
    <w:rsid w:val="001F47AE"/>
    <w:rsid w:val="001F5178"/>
    <w:rsid w:val="00204505"/>
    <w:rsid w:val="002425EF"/>
    <w:rsid w:val="00251708"/>
    <w:rsid w:val="00272382"/>
    <w:rsid w:val="00280613"/>
    <w:rsid w:val="00293B33"/>
    <w:rsid w:val="002A1955"/>
    <w:rsid w:val="002A226D"/>
    <w:rsid w:val="002A3DB4"/>
    <w:rsid w:val="002A4B95"/>
    <w:rsid w:val="002B413C"/>
    <w:rsid w:val="002B4218"/>
    <w:rsid w:val="002C3A53"/>
    <w:rsid w:val="003017A8"/>
    <w:rsid w:val="00306570"/>
    <w:rsid w:val="00306D94"/>
    <w:rsid w:val="00307C06"/>
    <w:rsid w:val="0033360D"/>
    <w:rsid w:val="0035125A"/>
    <w:rsid w:val="00354F68"/>
    <w:rsid w:val="003566D7"/>
    <w:rsid w:val="00357657"/>
    <w:rsid w:val="00364E6E"/>
    <w:rsid w:val="0036584E"/>
    <w:rsid w:val="003A3902"/>
    <w:rsid w:val="003C574C"/>
    <w:rsid w:val="003D6EE6"/>
    <w:rsid w:val="00417BA3"/>
    <w:rsid w:val="00431D27"/>
    <w:rsid w:val="0043375F"/>
    <w:rsid w:val="004437B0"/>
    <w:rsid w:val="00457510"/>
    <w:rsid w:val="00461E67"/>
    <w:rsid w:val="004623AD"/>
    <w:rsid w:val="004746A2"/>
    <w:rsid w:val="0049039A"/>
    <w:rsid w:val="00492DAF"/>
    <w:rsid w:val="004A1040"/>
    <w:rsid w:val="004D4B5B"/>
    <w:rsid w:val="004D5023"/>
    <w:rsid w:val="004D76BA"/>
    <w:rsid w:val="00500745"/>
    <w:rsid w:val="005159BD"/>
    <w:rsid w:val="00527BF5"/>
    <w:rsid w:val="00544F6C"/>
    <w:rsid w:val="005571A5"/>
    <w:rsid w:val="00574101"/>
    <w:rsid w:val="0058482C"/>
    <w:rsid w:val="005A1536"/>
    <w:rsid w:val="005B1EA4"/>
    <w:rsid w:val="005B6849"/>
    <w:rsid w:val="005C2ADC"/>
    <w:rsid w:val="005D1A47"/>
    <w:rsid w:val="005E659B"/>
    <w:rsid w:val="00623AF5"/>
    <w:rsid w:val="00652F4C"/>
    <w:rsid w:val="00655D88"/>
    <w:rsid w:val="00675623"/>
    <w:rsid w:val="0067711C"/>
    <w:rsid w:val="006A06C0"/>
    <w:rsid w:val="006F1717"/>
    <w:rsid w:val="00701CA0"/>
    <w:rsid w:val="00703097"/>
    <w:rsid w:val="00740105"/>
    <w:rsid w:val="007417DF"/>
    <w:rsid w:val="0074280E"/>
    <w:rsid w:val="00765EFC"/>
    <w:rsid w:val="007A04AE"/>
    <w:rsid w:val="007B0B8F"/>
    <w:rsid w:val="007E4338"/>
    <w:rsid w:val="007E6CD8"/>
    <w:rsid w:val="007E772D"/>
    <w:rsid w:val="007F3337"/>
    <w:rsid w:val="008163A1"/>
    <w:rsid w:val="0084724C"/>
    <w:rsid w:val="00873EA9"/>
    <w:rsid w:val="008B4E3E"/>
    <w:rsid w:val="008C7384"/>
    <w:rsid w:val="008D6492"/>
    <w:rsid w:val="008F7FA2"/>
    <w:rsid w:val="0091074C"/>
    <w:rsid w:val="00916458"/>
    <w:rsid w:val="00916922"/>
    <w:rsid w:val="0093317C"/>
    <w:rsid w:val="0094051F"/>
    <w:rsid w:val="00A007A4"/>
    <w:rsid w:val="00A03F82"/>
    <w:rsid w:val="00A06293"/>
    <w:rsid w:val="00A12425"/>
    <w:rsid w:val="00A1717D"/>
    <w:rsid w:val="00A312A2"/>
    <w:rsid w:val="00A32F2A"/>
    <w:rsid w:val="00A5343C"/>
    <w:rsid w:val="00A5387D"/>
    <w:rsid w:val="00A61D6F"/>
    <w:rsid w:val="00A64A54"/>
    <w:rsid w:val="00A732B9"/>
    <w:rsid w:val="00A90B44"/>
    <w:rsid w:val="00AA64E8"/>
    <w:rsid w:val="00AD7786"/>
    <w:rsid w:val="00AE5BF6"/>
    <w:rsid w:val="00AF6946"/>
    <w:rsid w:val="00B04248"/>
    <w:rsid w:val="00B10583"/>
    <w:rsid w:val="00B114B4"/>
    <w:rsid w:val="00B25D30"/>
    <w:rsid w:val="00B44605"/>
    <w:rsid w:val="00BA3F0D"/>
    <w:rsid w:val="00BB1869"/>
    <w:rsid w:val="00BD3649"/>
    <w:rsid w:val="00BD4E61"/>
    <w:rsid w:val="00BD6108"/>
    <w:rsid w:val="00BE5074"/>
    <w:rsid w:val="00C42B3C"/>
    <w:rsid w:val="00C47C36"/>
    <w:rsid w:val="00C90D47"/>
    <w:rsid w:val="00C96291"/>
    <w:rsid w:val="00CB0D18"/>
    <w:rsid w:val="00CC59A4"/>
    <w:rsid w:val="00CE1CFC"/>
    <w:rsid w:val="00CE2856"/>
    <w:rsid w:val="00CF2E36"/>
    <w:rsid w:val="00CF6596"/>
    <w:rsid w:val="00CF781A"/>
    <w:rsid w:val="00D1227C"/>
    <w:rsid w:val="00D1298C"/>
    <w:rsid w:val="00D15AAC"/>
    <w:rsid w:val="00D27D3E"/>
    <w:rsid w:val="00D347A3"/>
    <w:rsid w:val="00D36880"/>
    <w:rsid w:val="00D43A32"/>
    <w:rsid w:val="00D57102"/>
    <w:rsid w:val="00D7620F"/>
    <w:rsid w:val="00D87C16"/>
    <w:rsid w:val="00DA065A"/>
    <w:rsid w:val="00DB5E26"/>
    <w:rsid w:val="00DF5C46"/>
    <w:rsid w:val="00DF7FD8"/>
    <w:rsid w:val="00E02B14"/>
    <w:rsid w:val="00E03850"/>
    <w:rsid w:val="00E14475"/>
    <w:rsid w:val="00E17FC3"/>
    <w:rsid w:val="00E406FB"/>
    <w:rsid w:val="00E42988"/>
    <w:rsid w:val="00E46E24"/>
    <w:rsid w:val="00E54764"/>
    <w:rsid w:val="00E62AAE"/>
    <w:rsid w:val="00E63E9B"/>
    <w:rsid w:val="00E65C53"/>
    <w:rsid w:val="00E66CD4"/>
    <w:rsid w:val="00E77C68"/>
    <w:rsid w:val="00E93CDD"/>
    <w:rsid w:val="00E97505"/>
    <w:rsid w:val="00EA33FD"/>
    <w:rsid w:val="00EA5B77"/>
    <w:rsid w:val="00EA72AF"/>
    <w:rsid w:val="00EB133D"/>
    <w:rsid w:val="00F11B88"/>
    <w:rsid w:val="00F17FB6"/>
    <w:rsid w:val="00F318DE"/>
    <w:rsid w:val="00F8315F"/>
    <w:rsid w:val="00F9363E"/>
    <w:rsid w:val="00F966CC"/>
    <w:rsid w:val="00FA19F1"/>
    <w:rsid w:val="00FB631C"/>
    <w:rsid w:val="00FB7B54"/>
    <w:rsid w:val="00FE3FC4"/>
    <w:rsid w:val="00F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51F"/>
  </w:style>
  <w:style w:type="paragraph" w:styleId="Heading1">
    <w:name w:val="heading 1"/>
    <w:basedOn w:val="Normal"/>
    <w:next w:val="Normal"/>
    <w:qFormat/>
    <w:rsid w:val="0094051F"/>
    <w:pPr>
      <w:keepNext/>
      <w:jc w:val="both"/>
      <w:outlineLvl w:val="0"/>
    </w:pPr>
    <w:rPr>
      <w:rFonts w:ascii="Arial Narrow" w:hAnsi="Arial Narrow"/>
      <w:b/>
      <w:snapToGrid w:val="0"/>
      <w:kern w:val="28"/>
      <w:sz w:val="28"/>
    </w:rPr>
  </w:style>
  <w:style w:type="paragraph" w:styleId="Heading2">
    <w:name w:val="heading 2"/>
    <w:basedOn w:val="Normal"/>
    <w:next w:val="Normal"/>
    <w:qFormat/>
    <w:rsid w:val="0094051F"/>
    <w:pPr>
      <w:keepNext/>
      <w:ind w:left="282" w:hanging="282"/>
      <w:outlineLvl w:val="1"/>
    </w:pPr>
    <w:rPr>
      <w:rFonts w:ascii="Bookman Old Style" w:hAnsi="Bookman Old Style"/>
      <w:b/>
      <w:snapToGrid w:val="0"/>
      <w:kern w:val="28"/>
      <w:sz w:val="28"/>
    </w:rPr>
  </w:style>
  <w:style w:type="paragraph" w:styleId="Heading3">
    <w:name w:val="heading 3"/>
    <w:basedOn w:val="Normal"/>
    <w:next w:val="Normal"/>
    <w:qFormat/>
    <w:rsid w:val="0094051F"/>
    <w:pPr>
      <w:keepNext/>
      <w:jc w:val="center"/>
      <w:outlineLvl w:val="2"/>
    </w:pPr>
    <w:rPr>
      <w:rFonts w:ascii="Bookman Old Style" w:hAnsi="Bookman Old Style"/>
      <w:b/>
      <w:snapToGrid w:val="0"/>
      <w:kern w:val="28"/>
      <w:sz w:val="28"/>
    </w:rPr>
  </w:style>
  <w:style w:type="paragraph" w:styleId="Heading4">
    <w:name w:val="heading 4"/>
    <w:basedOn w:val="Normal"/>
    <w:next w:val="Normal"/>
    <w:qFormat/>
    <w:rsid w:val="0094051F"/>
    <w:pPr>
      <w:keepNext/>
      <w:jc w:val="both"/>
      <w:outlineLvl w:val="3"/>
    </w:pPr>
    <w:rPr>
      <w:rFonts w:ascii="Bookman Old Style" w:hAnsi="Bookman Old Style"/>
      <w:b/>
      <w:snapToGrid w:val="0"/>
      <w:kern w:val="28"/>
    </w:rPr>
  </w:style>
  <w:style w:type="paragraph" w:styleId="Heading5">
    <w:name w:val="heading 5"/>
    <w:basedOn w:val="Normal"/>
    <w:next w:val="Normal"/>
    <w:qFormat/>
    <w:rsid w:val="0094051F"/>
    <w:pPr>
      <w:keepNext/>
      <w:ind w:right="-870"/>
      <w:outlineLvl w:val="4"/>
    </w:pPr>
    <w:rPr>
      <w:rFonts w:ascii="Arial Narrow" w:hAnsi="Arial Narrow"/>
      <w:b/>
      <w:i/>
      <w:sz w:val="24"/>
    </w:rPr>
  </w:style>
  <w:style w:type="paragraph" w:styleId="Heading6">
    <w:name w:val="heading 6"/>
    <w:basedOn w:val="Normal"/>
    <w:next w:val="Normal"/>
    <w:qFormat/>
    <w:rsid w:val="0094051F"/>
    <w:pPr>
      <w:keepNext/>
      <w:jc w:val="center"/>
      <w:outlineLvl w:val="5"/>
    </w:pPr>
    <w:rPr>
      <w:rFonts w:ascii="Arial Narrow" w:hAnsi="Arial Narrow"/>
      <w:b/>
      <w:snapToGrid w:val="0"/>
      <w:kern w:val="28"/>
      <w:sz w:val="32"/>
    </w:rPr>
  </w:style>
  <w:style w:type="paragraph" w:styleId="Heading7">
    <w:name w:val="heading 7"/>
    <w:basedOn w:val="Normal"/>
    <w:next w:val="Normal"/>
    <w:qFormat/>
    <w:rsid w:val="0094051F"/>
    <w:pPr>
      <w:keepNext/>
      <w:outlineLvl w:val="6"/>
    </w:pPr>
    <w:rPr>
      <w:b/>
      <w:bCs/>
      <w:sz w:val="24"/>
      <w:u w:val="single"/>
      <w:lang w:val="en-IE"/>
    </w:rPr>
  </w:style>
  <w:style w:type="paragraph" w:styleId="Heading8">
    <w:name w:val="heading 8"/>
    <w:basedOn w:val="Normal"/>
    <w:next w:val="Normal"/>
    <w:qFormat/>
    <w:rsid w:val="0094051F"/>
    <w:pPr>
      <w:keepNext/>
      <w:jc w:val="center"/>
      <w:outlineLvl w:val="7"/>
    </w:pPr>
    <w:rPr>
      <w:rFonts w:ascii="Comic Sans MS" w:hAnsi="Comic Sans MS"/>
      <w:b/>
      <w:bCs/>
    </w:rPr>
  </w:style>
  <w:style w:type="paragraph" w:styleId="Heading9">
    <w:name w:val="heading 9"/>
    <w:basedOn w:val="Normal"/>
    <w:next w:val="Normal"/>
    <w:qFormat/>
    <w:rsid w:val="0094051F"/>
    <w:pPr>
      <w:keepNext/>
      <w:outlineLvl w:val="8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051F"/>
    <w:pPr>
      <w:jc w:val="both"/>
    </w:pPr>
    <w:rPr>
      <w:rFonts w:ascii="Arial Narrow" w:hAnsi="Arial Narrow"/>
      <w:snapToGrid w:val="0"/>
      <w:kern w:val="28"/>
    </w:rPr>
  </w:style>
  <w:style w:type="paragraph" w:styleId="BodyText">
    <w:name w:val="Body Text"/>
    <w:basedOn w:val="Normal"/>
    <w:rsid w:val="0094051F"/>
    <w:pPr>
      <w:jc w:val="both"/>
    </w:pPr>
    <w:rPr>
      <w:rFonts w:ascii="Arial Narrow" w:hAnsi="Arial Narrow"/>
      <w:snapToGrid w:val="0"/>
      <w:kern w:val="28"/>
      <w:sz w:val="28"/>
    </w:rPr>
  </w:style>
  <w:style w:type="paragraph" w:styleId="BodyText2">
    <w:name w:val="Body Text 2"/>
    <w:basedOn w:val="Normal"/>
    <w:rsid w:val="0094051F"/>
    <w:pPr>
      <w:ind w:right="-870"/>
    </w:pPr>
    <w:rPr>
      <w:rFonts w:ascii="Arial Narrow" w:hAnsi="Arial Narrow"/>
      <w:b/>
      <w:i/>
      <w:sz w:val="24"/>
    </w:rPr>
  </w:style>
  <w:style w:type="character" w:styleId="Hyperlink">
    <w:name w:val="Hyperlink"/>
    <w:basedOn w:val="DefaultParagraphFont"/>
    <w:rsid w:val="0094051F"/>
    <w:rPr>
      <w:color w:val="0000FF"/>
      <w:u w:val="single"/>
    </w:rPr>
  </w:style>
  <w:style w:type="paragraph" w:styleId="Footer">
    <w:name w:val="footer"/>
    <w:basedOn w:val="Normal"/>
    <w:rsid w:val="009405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051F"/>
  </w:style>
  <w:style w:type="paragraph" w:styleId="BodyText3">
    <w:name w:val="Body Text 3"/>
    <w:basedOn w:val="Normal"/>
    <w:rsid w:val="0094051F"/>
    <w:pPr>
      <w:jc w:val="both"/>
    </w:pPr>
    <w:rPr>
      <w:rFonts w:ascii="Arial Narrow" w:hAnsi="Arial Narrow"/>
      <w:color w:val="000000"/>
      <w:sz w:val="24"/>
    </w:rPr>
  </w:style>
  <w:style w:type="paragraph" w:styleId="BodyTextIndent2">
    <w:name w:val="Body Text Indent 2"/>
    <w:basedOn w:val="Normal"/>
    <w:rsid w:val="0094051F"/>
    <w:pPr>
      <w:ind w:left="720" w:hanging="720"/>
    </w:pPr>
    <w:rPr>
      <w:rFonts w:ascii="Arial Narrow" w:hAnsi="Arial Narrow"/>
      <w:color w:val="000000"/>
      <w:sz w:val="24"/>
    </w:rPr>
  </w:style>
  <w:style w:type="paragraph" w:styleId="Header">
    <w:name w:val="header"/>
    <w:basedOn w:val="Normal"/>
    <w:rsid w:val="00D36880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E97505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DB5E26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A32F2A"/>
    <w:pPr>
      <w:numPr>
        <w:numId w:val="1"/>
      </w:numPr>
    </w:pPr>
  </w:style>
  <w:style w:type="numbering" w:customStyle="1" w:styleId="Style1">
    <w:name w:val="Style1"/>
    <w:basedOn w:val="NoList"/>
    <w:rsid w:val="00306D94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873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F485-A865-45DA-8E3C-A9789008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Fund Guidelines and Application Form</vt:lpstr>
    </vt:vector>
  </TitlesOfParts>
  <Company>Donegal County Council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Fund Guidelines and Application Form</dc:title>
  <dc:creator>Community &amp; Enterprise</dc:creator>
  <cp:keywords>Forms; Development</cp:keywords>
  <dc:description>Community Development Fund Guidelines and Application Form</dc:description>
  <cp:lastModifiedBy>l10035</cp:lastModifiedBy>
  <cp:revision>2</cp:revision>
  <cp:lastPrinted>2019-01-31T15:32:00Z</cp:lastPrinted>
  <dcterms:created xsi:type="dcterms:W3CDTF">2020-01-13T15:22:00Z</dcterms:created>
  <dcterms:modified xsi:type="dcterms:W3CDTF">2020-01-13T15:22:00Z</dcterms:modified>
</cp:coreProperties>
</file>